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w:t>
      </w:r>
    </w:p>
    <w:p>
      <w:pPr>
        <w:ind w:left="150" w:leftChars="1" w:right="-88" w:rightChars="-42" w:hanging="148" w:hangingChars="41"/>
        <w:jc w:val="center"/>
        <w:rPr>
          <w:b/>
          <w:bCs/>
          <w:sz w:val="36"/>
          <w:szCs w:val="36"/>
        </w:rPr>
      </w:pPr>
      <w:r>
        <w:rPr>
          <w:rFonts w:hint="eastAsia" w:cs="宋体"/>
          <w:b/>
          <w:bCs/>
          <w:sz w:val="36"/>
          <w:szCs w:val="36"/>
        </w:rPr>
        <w:t>第十五届全国多媒体课件大赛活动方案</w:t>
      </w:r>
    </w:p>
    <w:p>
      <w:pPr>
        <w:spacing w:before="100" w:beforeAutospacing="1"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一、活动综述</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本届课件大赛将面向各级各类院校教师和信息技术人员征集参赛作品，邀请现代教育技术领域和各学科知名专家组成评审组进行评审。通过评审，遴选出一批好的作品，丰富教学内容，帮助各教育教学单位提高教育技术应用水平，提升广大教师应用信息技术进行课程整合的能力，推动教育教学改革。</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请作者在规定的时间内将参赛作品提交至大赛组委会，经过评审组初审、复审后评选出进入决赛的作品，参加在北京举办的现场决赛及获奖作品的交流、颁奖活动。作者可随时关注大赛官方微信（公众号：</w:t>
      </w:r>
      <w:r>
        <w:rPr>
          <w:rFonts w:ascii="仿宋" w:hAnsi="仿宋" w:eastAsia="仿宋" w:cs="仿宋"/>
          <w:sz w:val="32"/>
          <w:szCs w:val="32"/>
        </w:rPr>
        <w:t>qgdmtkjds</w:t>
      </w:r>
      <w:r>
        <w:rPr>
          <w:rFonts w:hint="eastAsia" w:ascii="仿宋" w:hAnsi="仿宋" w:eastAsia="仿宋" w:cs="仿宋"/>
          <w:sz w:val="32"/>
          <w:szCs w:val="32"/>
        </w:rPr>
        <w:t>）及指定网站，了解本届大赛活动进程，赏析历届大赛获奖作品。</w:t>
      </w:r>
    </w:p>
    <w:p>
      <w:pPr>
        <w:spacing w:line="540" w:lineRule="exact"/>
        <w:ind w:firstLine="640" w:firstLineChars="200"/>
        <w:rPr>
          <w:rFonts w:ascii="仿宋" w:hAnsi="仿宋" w:eastAsia="仿宋"/>
          <w:sz w:val="32"/>
          <w:szCs w:val="32"/>
        </w:rPr>
      </w:pPr>
      <w:bookmarkStart w:id="0" w:name="OLE_LINK11"/>
      <w:r>
        <w:rPr>
          <w:rFonts w:hint="eastAsia" w:ascii="仿宋" w:hAnsi="仿宋" w:eastAsia="仿宋" w:cs="仿宋"/>
          <w:sz w:val="32"/>
          <w:szCs w:val="32"/>
        </w:rPr>
        <w:t>汇集历届大赛获奖作品的优质教育资源平台</w:t>
      </w:r>
      <w:r>
        <w:rPr>
          <w:rFonts w:ascii="仿宋" w:hAnsi="仿宋" w:eastAsia="仿宋" w:cs="仿宋"/>
          <w:sz w:val="32"/>
          <w:szCs w:val="32"/>
        </w:rPr>
        <w:t>——</w:t>
      </w:r>
      <w:r>
        <w:rPr>
          <w:rFonts w:hint="eastAsia" w:ascii="仿宋" w:hAnsi="仿宋" w:eastAsia="仿宋" w:cs="仿宋"/>
          <w:sz w:val="32"/>
          <w:szCs w:val="32"/>
        </w:rPr>
        <w:t>优课网，是与我中心独家合作推广平台，在本次大赛中，所有进入决赛的作品将被优先选录进优课网，在保护作者知识产权和相关权益的原则下，由优课网与作者签约，向全国各级各类教学单位推广。</w:t>
      </w:r>
      <w:bookmarkEnd w:id="0"/>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二、分组方式</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根据提交作品的适用对象，将参赛作品分为高教理科组、高教工科组、高教文科组、高教医学组、高职理科组、高职文科组、中职组、微课组。</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三、时间安排</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征集时间：</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初审时间：</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7</w:t>
      </w:r>
      <w:r>
        <w:rPr>
          <w:rFonts w:hint="eastAsia" w:ascii="仿宋" w:hAnsi="仿宋" w:eastAsia="仿宋" w:cs="仿宋"/>
          <w:sz w:val="32"/>
          <w:szCs w:val="32"/>
        </w:rPr>
        <w:t>日</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复审时间：</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8</w:t>
      </w:r>
      <w:r>
        <w:rPr>
          <w:rFonts w:hint="eastAsia" w:ascii="仿宋" w:hAnsi="仿宋" w:eastAsia="仿宋" w:cs="仿宋"/>
          <w:sz w:val="32"/>
          <w:szCs w:val="32"/>
        </w:rPr>
        <w:t>日</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26</w:t>
      </w:r>
      <w:r>
        <w:rPr>
          <w:rFonts w:hint="eastAsia" w:ascii="仿宋" w:hAnsi="仿宋" w:eastAsia="仿宋" w:cs="仿宋"/>
          <w:sz w:val="32"/>
          <w:szCs w:val="32"/>
        </w:rPr>
        <w:t>日</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决赛时间：</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7</w:t>
      </w:r>
      <w:r>
        <w:rPr>
          <w:rFonts w:hint="eastAsia" w:ascii="仿宋" w:hAnsi="仿宋" w:eastAsia="仿宋" w:cs="仿宋"/>
          <w:sz w:val="32"/>
          <w:szCs w:val="32"/>
        </w:rPr>
        <w:t>日</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w:t>
      </w:r>
    </w:p>
    <w:p>
      <w:pPr>
        <w:spacing w:line="540" w:lineRule="exact"/>
        <w:ind w:firstLine="1600" w:firstLineChars="500"/>
        <w:jc w:val="left"/>
        <w:rPr>
          <w:rFonts w:ascii="仿宋" w:hAnsi="仿宋" w:eastAsia="仿宋"/>
          <w:sz w:val="32"/>
          <w:szCs w:val="32"/>
        </w:rPr>
      </w:pPr>
      <w:r>
        <w:rPr>
          <w:rFonts w:hint="eastAsia" w:ascii="仿宋" w:hAnsi="仿宋" w:eastAsia="仿宋" w:cs="仿宋"/>
          <w:sz w:val="32"/>
          <w:szCs w:val="32"/>
        </w:rPr>
        <w:t>（高职理科组、高职文科组、中职组）</w:t>
      </w:r>
    </w:p>
    <w:p>
      <w:pPr>
        <w:spacing w:line="540" w:lineRule="exact"/>
        <w:ind w:firstLine="1920" w:firstLineChars="600"/>
        <w:rPr>
          <w:rFonts w:ascii="仿宋" w:hAnsi="仿宋" w:eastAsia="仿宋"/>
          <w:sz w:val="32"/>
          <w:szCs w:val="32"/>
        </w:rPr>
      </w:pP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21</w:t>
      </w:r>
      <w:r>
        <w:rPr>
          <w:rFonts w:hint="eastAsia" w:ascii="仿宋" w:hAnsi="仿宋" w:eastAsia="仿宋" w:cs="仿宋"/>
          <w:sz w:val="32"/>
          <w:szCs w:val="32"/>
        </w:rPr>
        <w:t>日</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23</w:t>
      </w:r>
      <w:r>
        <w:rPr>
          <w:rFonts w:hint="eastAsia" w:ascii="仿宋" w:hAnsi="仿宋" w:eastAsia="仿宋" w:cs="仿宋"/>
          <w:sz w:val="32"/>
          <w:szCs w:val="32"/>
        </w:rPr>
        <w:t>日</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（高教理科组、高教工科组、高教文科组、高教医学组）</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四、评审标准</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参赛课件不限制作软件和制作工具，不限风格形式。课件内容</w:t>
      </w:r>
      <w:r>
        <w:rPr>
          <w:rFonts w:ascii="仿宋" w:hAnsi="仿宋" w:eastAsia="仿宋" w:cs="仿宋"/>
          <w:sz w:val="32"/>
          <w:szCs w:val="32"/>
        </w:rPr>
        <w:t>50%</w:t>
      </w:r>
      <w:r>
        <w:rPr>
          <w:rFonts w:hint="eastAsia" w:ascii="仿宋" w:hAnsi="仿宋" w:eastAsia="仿宋" w:cs="仿宋"/>
          <w:sz w:val="32"/>
          <w:szCs w:val="32"/>
        </w:rPr>
        <w:t>以上为作者原创，并注明主要参考资料。每件参赛课件的制作者原则上不超过</w:t>
      </w:r>
      <w:r>
        <w:rPr>
          <w:rFonts w:ascii="仿宋" w:hAnsi="仿宋" w:eastAsia="仿宋" w:cs="仿宋"/>
          <w:sz w:val="32"/>
          <w:szCs w:val="32"/>
        </w:rPr>
        <w:t>8</w:t>
      </w:r>
      <w:r>
        <w:rPr>
          <w:rFonts w:hint="eastAsia" w:ascii="仿宋" w:hAnsi="仿宋" w:eastAsia="仿宋" w:cs="仿宋"/>
          <w:sz w:val="32"/>
          <w:szCs w:val="32"/>
        </w:rPr>
        <w:t>人。凡参赛的课件应为非正式出版物。评审标准详见附件</w:t>
      </w:r>
      <w:r>
        <w:rPr>
          <w:rFonts w:ascii="仿宋" w:hAnsi="仿宋" w:eastAsia="仿宋" w:cs="仿宋"/>
          <w:sz w:val="32"/>
          <w:szCs w:val="32"/>
        </w:rPr>
        <w:t>3</w:t>
      </w:r>
      <w:r>
        <w:rPr>
          <w:rFonts w:hint="eastAsia" w:ascii="仿宋" w:hAnsi="仿宋" w:eastAsia="仿宋" w:cs="仿宋"/>
          <w:sz w:val="32"/>
          <w:szCs w:val="32"/>
        </w:rPr>
        <w:t>。</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五、奖励办法</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（一）作品奖</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现场决赛各组均设一、二等奖若干名，设最佳创意奖、最佳教学设计奖、最佳技术实现奖、最佳艺术效果奖各一名。入围者须参加现场决赛方可获得由教育部教育管理信息中心颁发的证书及奖品。</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各组均设三等奖若干名，将获得由教育部教育管理信息中心颁发的证书。</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各奖项数量将根据各组参赛课件数量按比例设定。</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六、参赛办法</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（一）大赛报名</w:t>
      </w:r>
    </w:p>
    <w:p>
      <w:pPr>
        <w:spacing w:line="54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日后参赛单位和个人可在优课网“大赛报名系统”中填报参赛单位信息、作者信息和课件信息；</w:t>
      </w:r>
    </w:p>
    <w:p>
      <w:pPr>
        <w:spacing w:line="54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．在“大赛报名系统”中下载系统生成的“报名信息文件”，与课件一并拷贝在</w:t>
      </w:r>
      <w:r>
        <w:rPr>
          <w:rFonts w:ascii="仿宋" w:hAnsi="仿宋" w:eastAsia="仿宋" w:cs="仿宋"/>
          <w:sz w:val="32"/>
          <w:szCs w:val="32"/>
        </w:rPr>
        <w:t>U</w:t>
      </w:r>
      <w:r>
        <w:rPr>
          <w:rFonts w:hint="eastAsia" w:ascii="仿宋" w:hAnsi="仿宋" w:eastAsia="仿宋" w:cs="仿宋"/>
          <w:sz w:val="32"/>
          <w:szCs w:val="32"/>
        </w:rPr>
        <w:t>盘中。在</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日前将</w:t>
      </w:r>
      <w:r>
        <w:rPr>
          <w:rFonts w:ascii="仿宋" w:hAnsi="仿宋" w:eastAsia="仿宋" w:cs="仿宋"/>
          <w:sz w:val="32"/>
          <w:szCs w:val="32"/>
        </w:rPr>
        <w:t>U</w:t>
      </w:r>
      <w:r>
        <w:rPr>
          <w:rFonts w:hint="eastAsia" w:ascii="仿宋" w:hAnsi="仿宋" w:eastAsia="仿宋" w:cs="仿宋"/>
          <w:sz w:val="32"/>
          <w:szCs w:val="32"/>
        </w:rPr>
        <w:t>盘提交至大赛组委会；</w:t>
      </w:r>
    </w:p>
    <w:p>
      <w:pPr>
        <w:spacing w:line="54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．评审费</w:t>
      </w:r>
      <w:r>
        <w:rPr>
          <w:rFonts w:ascii="仿宋" w:hAnsi="仿宋" w:eastAsia="仿宋" w:cs="仿宋"/>
          <w:sz w:val="32"/>
          <w:szCs w:val="32"/>
        </w:rPr>
        <w:t>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件，请于</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日前汇至大赛组委会。办理汇款时，附言部分务必填写课件编号。</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（二）作品报送</w:t>
      </w:r>
    </w:p>
    <w:p>
      <w:pPr>
        <w:spacing w:line="54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．单机版课件须提交可执行程序参加评审，还可自愿提供五分钟录屏演示录像作为辅助参评资料；</w:t>
      </w:r>
    </w:p>
    <w:p>
      <w:pPr>
        <w:spacing w:line="54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．网络版课件须提交源代码、五分钟录屏演示录像参加评审，发布在公网的，还可提供网址作为辅助参评资料。</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（三）初赛评审</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评审组对报名参赛课件进行资格审定、技术测试、作品思想内容的审核。</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（四）复赛评审</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评审组对通过初审的课件进行复赛评审，选出各组参加决赛的课件。进入决赛的课件名单将于</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日通过大赛官方微信及优课网公布。</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（五）现场决赛</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组委会将通知决赛作者分别于</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7</w:t>
      </w:r>
      <w:r>
        <w:rPr>
          <w:rFonts w:hint="eastAsia" w:ascii="仿宋" w:hAnsi="仿宋" w:eastAsia="仿宋" w:cs="仿宋"/>
          <w:sz w:val="32"/>
          <w:szCs w:val="32"/>
        </w:rPr>
        <w:t>日</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日（高职理科组、高职文科组、中职组）、</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21</w:t>
      </w:r>
      <w:r>
        <w:rPr>
          <w:rFonts w:hint="eastAsia" w:ascii="仿宋" w:hAnsi="仿宋" w:eastAsia="仿宋" w:cs="仿宋"/>
          <w:sz w:val="32"/>
          <w:szCs w:val="32"/>
        </w:rPr>
        <w:t>日</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23</w:t>
      </w:r>
      <w:r>
        <w:rPr>
          <w:rFonts w:hint="eastAsia" w:ascii="仿宋" w:hAnsi="仿宋" w:eastAsia="仿宋" w:cs="仿宋"/>
          <w:sz w:val="32"/>
          <w:szCs w:val="32"/>
        </w:rPr>
        <w:t>日（高教理科组、高教工科组、高教文科组、高教医学组）到北京参加现场决赛。凡取得决赛资格的作者均需自备笔记本电脑参加现场决赛。决赛中，作者进行</w:t>
      </w:r>
      <w:r>
        <w:rPr>
          <w:rFonts w:ascii="仿宋" w:hAnsi="仿宋" w:eastAsia="仿宋" w:cs="仿宋"/>
          <w:sz w:val="32"/>
          <w:szCs w:val="32"/>
        </w:rPr>
        <w:t>5</w:t>
      </w:r>
      <w:r>
        <w:rPr>
          <w:rFonts w:hint="eastAsia" w:ascii="仿宋" w:hAnsi="仿宋" w:eastAsia="仿宋" w:cs="仿宋"/>
          <w:sz w:val="32"/>
          <w:szCs w:val="32"/>
        </w:rPr>
        <w:t>分钟的演示和讲解，并回答专家提出的问题。现场公布决赛成绩，决出各组一、二等奖及单项奖。缺席的参赛作者将被视为自动弃权。</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七、微课组参赛办法</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作者应通过优课网报名并上传微课作品。</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（一）参赛要求</w:t>
      </w:r>
    </w:p>
    <w:p>
      <w:pPr>
        <w:spacing w:line="54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．各学科教师均可参赛，内容不限；</w:t>
      </w:r>
    </w:p>
    <w:p>
      <w:pPr>
        <w:spacing w:line="54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．视频清晰稳定、构图合理、声音清楚、音画同步，能真实反映教学情境，充分展示教师良好教学风貌；</w:t>
      </w:r>
    </w:p>
    <w:p>
      <w:pPr>
        <w:spacing w:line="54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．视频片头应显示标题、作者和单位，主要教学环节有字幕提示；</w:t>
      </w:r>
    </w:p>
    <w:p>
      <w:pPr>
        <w:tabs>
          <w:tab w:val="left" w:pos="709"/>
        </w:tabs>
        <w:spacing w:line="54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．视频须以</w:t>
      </w:r>
      <w:r>
        <w:rPr>
          <w:rFonts w:ascii="仿宋" w:hAnsi="仿宋" w:eastAsia="仿宋" w:cs="仿宋"/>
          <w:sz w:val="32"/>
          <w:szCs w:val="32"/>
        </w:rPr>
        <w:t>flv</w:t>
      </w:r>
      <w:r>
        <w:rPr>
          <w:rFonts w:hint="eastAsia" w:ascii="仿宋" w:hAnsi="仿宋" w:eastAsia="仿宋" w:cs="仿宋"/>
          <w:sz w:val="32"/>
          <w:szCs w:val="32"/>
        </w:rPr>
        <w:t>格式上传，</w:t>
      </w:r>
      <w:r>
        <w:rPr>
          <w:rFonts w:hint="eastAsia" w:ascii="仿宋" w:hAnsi="仿宋" w:eastAsia="仿宋" w:cs="仿宋"/>
          <w:color w:val="000000"/>
          <w:sz w:val="32"/>
          <w:szCs w:val="32"/>
        </w:rPr>
        <w:t>录制时长为</w:t>
      </w:r>
      <w:r>
        <w:rPr>
          <w:rFonts w:ascii="仿宋" w:hAnsi="仿宋" w:eastAsia="仿宋" w:cs="仿宋"/>
          <w:color w:val="000000"/>
          <w:sz w:val="32"/>
          <w:szCs w:val="32"/>
        </w:rPr>
        <w:t>8</w:t>
      </w:r>
      <w:r>
        <w:rPr>
          <w:rFonts w:hint="eastAsia" w:ascii="仿宋" w:hAnsi="仿宋" w:eastAsia="仿宋" w:cs="仿宋"/>
          <w:color w:val="000000"/>
          <w:sz w:val="32"/>
          <w:szCs w:val="32"/>
        </w:rPr>
        <w:t>～</w:t>
      </w:r>
      <w:r>
        <w:rPr>
          <w:rFonts w:ascii="仿宋" w:hAnsi="仿宋" w:eastAsia="仿宋" w:cs="仿宋"/>
          <w:color w:val="000000"/>
          <w:sz w:val="32"/>
          <w:szCs w:val="32"/>
        </w:rPr>
        <w:t>10</w:t>
      </w:r>
      <w:r>
        <w:rPr>
          <w:rFonts w:hint="eastAsia" w:ascii="仿宋" w:hAnsi="仿宋" w:eastAsia="仿宋" w:cs="仿宋"/>
          <w:color w:val="000000"/>
          <w:sz w:val="32"/>
          <w:szCs w:val="32"/>
        </w:rPr>
        <w:t>分钟</w:t>
      </w:r>
      <w:r>
        <w:rPr>
          <w:rFonts w:hint="eastAsia" w:ascii="仿宋" w:hAnsi="仿宋" w:eastAsia="仿宋" w:cs="仿宋"/>
          <w:sz w:val="32"/>
          <w:szCs w:val="32"/>
        </w:rPr>
        <w:t>，容量不超过</w:t>
      </w:r>
      <w:r>
        <w:rPr>
          <w:rFonts w:ascii="仿宋" w:hAnsi="仿宋" w:eastAsia="仿宋" w:cs="仿宋"/>
          <w:sz w:val="32"/>
          <w:szCs w:val="32"/>
        </w:rPr>
        <w:t>40Mb</w:t>
      </w:r>
      <w:r>
        <w:rPr>
          <w:rFonts w:hint="eastAsia" w:ascii="仿宋" w:hAnsi="仿宋" w:eastAsia="仿宋" w:cs="仿宋"/>
          <w:sz w:val="32"/>
          <w:szCs w:val="32"/>
        </w:rPr>
        <w:t>；</w:t>
      </w:r>
    </w:p>
    <w:p>
      <w:pPr>
        <w:spacing w:line="540" w:lineRule="exact"/>
        <w:rPr>
          <w:rFonts w:ascii="仿宋" w:hAnsi="仿宋" w:eastAsia="仿宋"/>
          <w:color w:val="000000"/>
          <w:sz w:val="32"/>
          <w:szCs w:val="32"/>
        </w:rPr>
      </w:pPr>
      <w:r>
        <w:rPr>
          <w:rFonts w:ascii="仿宋" w:hAnsi="仿宋" w:eastAsia="仿宋" w:cs="仿宋"/>
          <w:sz w:val="32"/>
          <w:szCs w:val="32"/>
        </w:rPr>
        <w:t xml:space="preserve">    5</w:t>
      </w:r>
      <w:r>
        <w:rPr>
          <w:rFonts w:hint="eastAsia" w:ascii="仿宋" w:hAnsi="仿宋" w:eastAsia="仿宋" w:cs="仿宋"/>
          <w:sz w:val="32"/>
          <w:szCs w:val="32"/>
        </w:rPr>
        <w:t>．作者原则上不超过</w:t>
      </w:r>
      <w:r>
        <w:rPr>
          <w:rFonts w:ascii="仿宋" w:hAnsi="仿宋" w:eastAsia="仿宋" w:cs="仿宋"/>
          <w:sz w:val="32"/>
          <w:szCs w:val="32"/>
        </w:rPr>
        <w:t>5</w:t>
      </w:r>
      <w:r>
        <w:rPr>
          <w:rFonts w:hint="eastAsia" w:ascii="仿宋" w:hAnsi="仿宋" w:eastAsia="仿宋" w:cs="仿宋"/>
          <w:sz w:val="32"/>
          <w:szCs w:val="32"/>
        </w:rPr>
        <w:t>人</w:t>
      </w:r>
      <w:r>
        <w:rPr>
          <w:rFonts w:hint="eastAsia" w:ascii="仿宋" w:hAnsi="仿宋" w:eastAsia="仿宋" w:cs="仿宋"/>
          <w:color w:val="000000"/>
          <w:sz w:val="32"/>
          <w:szCs w:val="32"/>
        </w:rPr>
        <w:t>；</w:t>
      </w:r>
    </w:p>
    <w:p>
      <w:pPr>
        <w:spacing w:line="540" w:lineRule="exact"/>
        <w:ind w:firstLine="640" w:firstLineChars="20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．作者享有作品著作权，</w:t>
      </w:r>
      <w:bookmarkStart w:id="1" w:name="OLE_LINK13"/>
      <w:bookmarkStart w:id="2" w:name="OLE_LINK12"/>
      <w:r>
        <w:rPr>
          <w:rFonts w:hint="eastAsia" w:ascii="仿宋" w:hAnsi="仿宋" w:eastAsia="仿宋" w:cs="仿宋"/>
          <w:sz w:val="32"/>
          <w:szCs w:val="32"/>
        </w:rPr>
        <w:t>授权优课网及大赛官方微信享有网络传播权</w:t>
      </w:r>
      <w:bookmarkEnd w:id="1"/>
      <w:bookmarkEnd w:id="2"/>
      <w:r>
        <w:rPr>
          <w:rFonts w:hint="eastAsia" w:ascii="仿宋" w:hAnsi="仿宋" w:eastAsia="仿宋" w:cs="仿宋"/>
          <w:sz w:val="32"/>
          <w:szCs w:val="32"/>
        </w:rPr>
        <w:t>；</w:t>
      </w:r>
    </w:p>
    <w:p>
      <w:pPr>
        <w:spacing w:line="540" w:lineRule="exact"/>
        <w:ind w:firstLine="640" w:firstLineChars="20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．评审费</w:t>
      </w:r>
      <w:r>
        <w:rPr>
          <w:rFonts w:ascii="仿宋" w:hAnsi="仿宋" w:eastAsia="仿宋" w:cs="仿宋"/>
          <w:sz w:val="32"/>
          <w:szCs w:val="32"/>
        </w:rPr>
        <w:t>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件，请于</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日前汇至大赛组委会。办理汇款时，附言部分务必填写微课编号。</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（二）比赛安排</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作品上传：</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w:t>
      </w:r>
    </w:p>
    <w:p>
      <w:pPr>
        <w:spacing w:line="540" w:lineRule="exact"/>
        <w:ind w:left="-2" w:right="-120" w:rightChars="-57" w:firstLine="640" w:firstLineChars="200"/>
        <w:rPr>
          <w:rFonts w:ascii="仿宋" w:hAnsi="仿宋" w:eastAsia="仿宋"/>
          <w:sz w:val="32"/>
          <w:szCs w:val="32"/>
        </w:rPr>
      </w:pPr>
      <w:r>
        <w:rPr>
          <w:rFonts w:hint="eastAsia" w:ascii="仿宋" w:hAnsi="仿宋" w:eastAsia="仿宋" w:cs="仿宋"/>
          <w:sz w:val="32"/>
          <w:szCs w:val="32"/>
        </w:rPr>
        <w:t>专家评审：</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26</w:t>
      </w:r>
      <w:r>
        <w:rPr>
          <w:rFonts w:hint="eastAsia" w:ascii="仿宋" w:hAnsi="仿宋" w:eastAsia="仿宋" w:cs="仿宋"/>
          <w:sz w:val="32"/>
          <w:szCs w:val="32"/>
        </w:rPr>
        <w:t>日</w:t>
      </w:r>
    </w:p>
    <w:p>
      <w:pPr>
        <w:spacing w:line="540" w:lineRule="exact"/>
        <w:ind w:left="-2" w:right="-120" w:rightChars="-57" w:firstLine="640" w:firstLineChars="200"/>
        <w:rPr>
          <w:rFonts w:ascii="仿宋" w:hAnsi="仿宋" w:eastAsia="仿宋"/>
          <w:sz w:val="32"/>
          <w:szCs w:val="32"/>
        </w:rPr>
      </w:pPr>
      <w:r>
        <w:rPr>
          <w:rFonts w:hint="eastAsia" w:ascii="仿宋" w:hAnsi="仿宋" w:eastAsia="仿宋" w:cs="仿宋"/>
          <w:sz w:val="32"/>
          <w:szCs w:val="32"/>
        </w:rPr>
        <w:t>成绩公布：</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w:t>
      </w:r>
    </w:p>
    <w:p>
      <w:pPr>
        <w:spacing w:line="540" w:lineRule="exact"/>
        <w:ind w:firstLine="480" w:firstLineChars="150"/>
        <w:rPr>
          <w:rFonts w:ascii="仿宋" w:hAnsi="仿宋" w:eastAsia="仿宋"/>
          <w:sz w:val="32"/>
          <w:szCs w:val="32"/>
        </w:rPr>
      </w:pPr>
      <w:r>
        <w:rPr>
          <w:rFonts w:hint="eastAsia" w:ascii="仿宋" w:hAnsi="仿宋" w:eastAsia="仿宋" w:cs="仿宋"/>
          <w:sz w:val="32"/>
          <w:szCs w:val="32"/>
        </w:rPr>
        <w:t>（三）评审办法</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评审组对参赛作品进行初评、终评，评出一、二、三等奖若干名。各奖项数量将根据参赛作品数量按比例设定。获奖名单将于</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日通过大赛官方微信及优课网公布。</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八、赛前培训</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教育部教育管理信息中心将邀请资深评审专家对历届参赛作品进行点评，指导教师应用新技术制作课件。相关培训内容及报名办法详见全国教师信息技术培训项目网。</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九、现场观摩</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组委会将以书面形式邀请获组织奖单位领导和教学管理人员、未进入决赛的作者观摩现场决赛和交流活动。</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十、颁奖典礼</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组委会将在颁奖典礼上公布决赛结果，有关领导为获奖单位和个人颁奖。大赛评审组组长总结和分析课件大赛的全部评审过程、点评获奖作品。</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十一、作品邮寄</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单</w:t>
      </w:r>
      <w:r>
        <w:rPr>
          <w:rFonts w:ascii="仿宋" w:hAnsi="仿宋" w:eastAsia="仿宋" w:cs="仿宋"/>
          <w:sz w:val="32"/>
          <w:szCs w:val="32"/>
        </w:rPr>
        <w:t xml:space="preserve">  </w:t>
      </w:r>
      <w:r>
        <w:rPr>
          <w:rFonts w:hint="eastAsia" w:ascii="仿宋" w:hAnsi="仿宋" w:eastAsia="仿宋" w:cs="仿宋"/>
          <w:sz w:val="32"/>
          <w:szCs w:val="32"/>
        </w:rPr>
        <w:t>位：教育部教育管理信息中心</w:t>
      </w:r>
      <w:r>
        <w:rPr>
          <w:rFonts w:ascii="仿宋" w:hAnsi="仿宋" w:eastAsia="仿宋" w:cs="仿宋"/>
          <w:sz w:val="32"/>
          <w:szCs w:val="32"/>
        </w:rPr>
        <w:t xml:space="preserve"> </w:t>
      </w:r>
      <w:r>
        <w:rPr>
          <w:rFonts w:hint="eastAsia" w:ascii="仿宋" w:hAnsi="仿宋" w:eastAsia="仿宋" w:cs="仿宋"/>
          <w:sz w:val="32"/>
          <w:szCs w:val="32"/>
        </w:rPr>
        <w:t>开发处</w:t>
      </w:r>
      <w:r>
        <w:rPr>
          <w:rFonts w:ascii="仿宋" w:hAnsi="仿宋" w:eastAsia="仿宋" w:cs="仿宋"/>
          <w:sz w:val="32"/>
          <w:szCs w:val="32"/>
        </w:rPr>
        <w:t xml:space="preserve"> </w:t>
      </w:r>
      <w:r>
        <w:rPr>
          <w:rFonts w:hint="eastAsia" w:ascii="仿宋" w:hAnsi="仿宋" w:eastAsia="仿宋" w:cs="仿宋"/>
          <w:sz w:val="32"/>
          <w:szCs w:val="32"/>
        </w:rPr>
        <w:t>课件大赛组委会</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地</w:t>
      </w:r>
      <w:r>
        <w:rPr>
          <w:rFonts w:ascii="仿宋" w:hAnsi="仿宋" w:eastAsia="仿宋" w:cs="仿宋"/>
          <w:sz w:val="32"/>
          <w:szCs w:val="32"/>
        </w:rPr>
        <w:t xml:space="preserve">  </w:t>
      </w:r>
      <w:r>
        <w:rPr>
          <w:rFonts w:hint="eastAsia" w:ascii="仿宋" w:hAnsi="仿宋" w:eastAsia="仿宋" w:cs="仿宋"/>
          <w:sz w:val="32"/>
          <w:szCs w:val="32"/>
        </w:rPr>
        <w:t>址：北京西单大木仓胡同</w:t>
      </w:r>
      <w:r>
        <w:rPr>
          <w:rFonts w:ascii="仿宋" w:hAnsi="仿宋" w:eastAsia="仿宋" w:cs="仿宋"/>
          <w:sz w:val="32"/>
          <w:szCs w:val="32"/>
        </w:rPr>
        <w:t>37</w:t>
      </w:r>
      <w:r>
        <w:rPr>
          <w:rFonts w:hint="eastAsia" w:ascii="仿宋" w:hAnsi="仿宋" w:eastAsia="仿宋" w:cs="仿宋"/>
          <w:sz w:val="32"/>
          <w:szCs w:val="32"/>
        </w:rPr>
        <w:t>号教育部业务楼</w:t>
      </w:r>
      <w:r>
        <w:rPr>
          <w:rFonts w:ascii="仿宋" w:hAnsi="仿宋" w:eastAsia="仿宋" w:cs="仿宋"/>
          <w:sz w:val="32"/>
          <w:szCs w:val="32"/>
        </w:rPr>
        <w:t>416</w:t>
      </w:r>
      <w:r>
        <w:rPr>
          <w:rFonts w:hint="eastAsia" w:ascii="仿宋" w:hAnsi="仿宋" w:eastAsia="仿宋" w:cs="仿宋"/>
          <w:sz w:val="32"/>
          <w:szCs w:val="32"/>
        </w:rPr>
        <w:t>室</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邮政编码：</w:t>
      </w:r>
      <w:r>
        <w:rPr>
          <w:rFonts w:ascii="仿宋" w:hAnsi="仿宋" w:eastAsia="仿宋" w:cs="仿宋"/>
          <w:sz w:val="32"/>
          <w:szCs w:val="32"/>
        </w:rPr>
        <w:t>100816</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收</w:t>
      </w:r>
      <w:r>
        <w:rPr>
          <w:rFonts w:ascii="仿宋" w:hAnsi="仿宋" w:eastAsia="仿宋" w:cs="仿宋"/>
          <w:sz w:val="32"/>
          <w:szCs w:val="32"/>
        </w:rPr>
        <w:t xml:space="preserve"> </w:t>
      </w:r>
      <w:r>
        <w:rPr>
          <w:rFonts w:hint="eastAsia" w:ascii="仿宋" w:hAnsi="仿宋" w:eastAsia="仿宋" w:cs="仿宋"/>
          <w:sz w:val="32"/>
          <w:szCs w:val="32"/>
        </w:rPr>
        <w:t>件</w:t>
      </w:r>
      <w:r>
        <w:rPr>
          <w:rFonts w:ascii="仿宋" w:hAnsi="仿宋" w:eastAsia="仿宋" w:cs="仿宋"/>
          <w:sz w:val="32"/>
          <w:szCs w:val="32"/>
        </w:rPr>
        <w:t xml:space="preserve"> </w:t>
      </w:r>
      <w:r>
        <w:rPr>
          <w:rFonts w:hint="eastAsia" w:ascii="仿宋" w:hAnsi="仿宋" w:eastAsia="仿宋" w:cs="仿宋"/>
          <w:sz w:val="32"/>
          <w:szCs w:val="32"/>
        </w:rPr>
        <w:t>人：程寅、陈芡、张旭</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010-66068611</w:t>
      </w:r>
      <w:r>
        <w:rPr>
          <w:rFonts w:hint="eastAsia" w:ascii="仿宋" w:hAnsi="仿宋" w:eastAsia="仿宋" w:cs="仿宋"/>
          <w:sz w:val="32"/>
          <w:szCs w:val="32"/>
        </w:rPr>
        <w:t>、</w:t>
      </w:r>
      <w:r>
        <w:rPr>
          <w:rFonts w:ascii="仿宋" w:hAnsi="仿宋" w:eastAsia="仿宋" w:cs="仿宋"/>
          <w:sz w:val="32"/>
          <w:szCs w:val="32"/>
        </w:rPr>
        <w:t>66085178</w:t>
      </w:r>
      <w:r>
        <w:rPr>
          <w:rFonts w:hint="eastAsia" w:ascii="仿宋" w:hAnsi="仿宋" w:eastAsia="仿宋" w:cs="仿宋"/>
          <w:sz w:val="32"/>
          <w:szCs w:val="32"/>
        </w:rPr>
        <w:t>、</w:t>
      </w:r>
      <w:r>
        <w:rPr>
          <w:rFonts w:ascii="仿宋" w:hAnsi="仿宋" w:eastAsia="仿宋" w:cs="仿宋"/>
          <w:sz w:val="32"/>
          <w:szCs w:val="32"/>
        </w:rPr>
        <w:t>66067288</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电子邮件：</w:t>
      </w:r>
      <w:r>
        <w:rPr>
          <w:rFonts w:ascii="仿宋" w:hAnsi="仿宋" w:eastAsia="仿宋" w:cs="仿宋"/>
          <w:sz w:val="32"/>
          <w:szCs w:val="32"/>
        </w:rPr>
        <w:t>chengyin1981@ moe.edu.cn</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十二、汇款办法</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银行汇款</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开户行：中国光大银行北京礼士路支行</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账号：</w:t>
      </w:r>
      <w:r>
        <w:rPr>
          <w:rFonts w:ascii="仿宋" w:hAnsi="仿宋" w:eastAsia="仿宋" w:cs="仿宋"/>
          <w:sz w:val="32"/>
          <w:szCs w:val="32"/>
        </w:rPr>
        <w:t>087501120100301036486</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账户：北京博汇英才教育咨询有限责任公司</w:t>
      </w:r>
      <w:r>
        <w:rPr>
          <w:rFonts w:ascii="Calibri" w:hAnsi="Calibri" w:eastAsia="仿宋"/>
          <w:sz w:val="32"/>
          <w:szCs w:val="32"/>
        </w:rPr>
        <w:t> </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十三、指定网站</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优课网</w:t>
      </w:r>
      <w:bookmarkStart w:id="3" w:name="_GoBack"/>
      <w:bookmarkEnd w:id="3"/>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全国教师信息技术培训项目网</w:t>
      </w:r>
    </w:p>
    <w:sectPr>
      <w:headerReference r:id="rId3" w:type="default"/>
      <w:pgSz w:w="11907"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AC3"/>
    <w:rsid w:val="00001E34"/>
    <w:rsid w:val="00006AD6"/>
    <w:rsid w:val="000236C8"/>
    <w:rsid w:val="000241FF"/>
    <w:rsid w:val="00043493"/>
    <w:rsid w:val="00071F35"/>
    <w:rsid w:val="00081C03"/>
    <w:rsid w:val="000B1F5A"/>
    <w:rsid w:val="000B2227"/>
    <w:rsid w:val="000B3DFC"/>
    <w:rsid w:val="000C38E8"/>
    <w:rsid w:val="000C73E5"/>
    <w:rsid w:val="000D3CA4"/>
    <w:rsid w:val="00154D3E"/>
    <w:rsid w:val="00176B58"/>
    <w:rsid w:val="0018610A"/>
    <w:rsid w:val="00190EA9"/>
    <w:rsid w:val="001968CE"/>
    <w:rsid w:val="001A55D2"/>
    <w:rsid w:val="001A7CCF"/>
    <w:rsid w:val="001B2301"/>
    <w:rsid w:val="001C3808"/>
    <w:rsid w:val="001C3AEB"/>
    <w:rsid w:val="001E2B8E"/>
    <w:rsid w:val="001E3340"/>
    <w:rsid w:val="001F15A8"/>
    <w:rsid w:val="00200393"/>
    <w:rsid w:val="002053E3"/>
    <w:rsid w:val="0021178B"/>
    <w:rsid w:val="00260526"/>
    <w:rsid w:val="0026775A"/>
    <w:rsid w:val="0027685D"/>
    <w:rsid w:val="00284D20"/>
    <w:rsid w:val="00295FAC"/>
    <w:rsid w:val="00296CF2"/>
    <w:rsid w:val="002E3A98"/>
    <w:rsid w:val="002E54EC"/>
    <w:rsid w:val="002E55A6"/>
    <w:rsid w:val="00301D40"/>
    <w:rsid w:val="00323063"/>
    <w:rsid w:val="003303B7"/>
    <w:rsid w:val="0035409E"/>
    <w:rsid w:val="003547B6"/>
    <w:rsid w:val="00364DCF"/>
    <w:rsid w:val="0037393E"/>
    <w:rsid w:val="003A4252"/>
    <w:rsid w:val="003B61D6"/>
    <w:rsid w:val="003B71D9"/>
    <w:rsid w:val="003C0F9B"/>
    <w:rsid w:val="003C5426"/>
    <w:rsid w:val="003D035F"/>
    <w:rsid w:val="003D4626"/>
    <w:rsid w:val="00401DEC"/>
    <w:rsid w:val="004039CD"/>
    <w:rsid w:val="004064D3"/>
    <w:rsid w:val="004156D4"/>
    <w:rsid w:val="00433082"/>
    <w:rsid w:val="004833B5"/>
    <w:rsid w:val="00491DE2"/>
    <w:rsid w:val="00493FB5"/>
    <w:rsid w:val="004A2873"/>
    <w:rsid w:val="004A6858"/>
    <w:rsid w:val="004A779C"/>
    <w:rsid w:val="004D043E"/>
    <w:rsid w:val="004D1B0C"/>
    <w:rsid w:val="004E7977"/>
    <w:rsid w:val="004F7ED2"/>
    <w:rsid w:val="00503F2F"/>
    <w:rsid w:val="00504E32"/>
    <w:rsid w:val="0053793D"/>
    <w:rsid w:val="00540A37"/>
    <w:rsid w:val="00540F9F"/>
    <w:rsid w:val="00556D87"/>
    <w:rsid w:val="0056383A"/>
    <w:rsid w:val="00592E4A"/>
    <w:rsid w:val="005B6A06"/>
    <w:rsid w:val="005C69FF"/>
    <w:rsid w:val="006000D5"/>
    <w:rsid w:val="00605DBE"/>
    <w:rsid w:val="00630037"/>
    <w:rsid w:val="0066526C"/>
    <w:rsid w:val="006C309D"/>
    <w:rsid w:val="006C54F4"/>
    <w:rsid w:val="006F472A"/>
    <w:rsid w:val="006F6575"/>
    <w:rsid w:val="00713A1F"/>
    <w:rsid w:val="00722162"/>
    <w:rsid w:val="007227C4"/>
    <w:rsid w:val="00726D9B"/>
    <w:rsid w:val="0073596C"/>
    <w:rsid w:val="0077773B"/>
    <w:rsid w:val="007A4ED9"/>
    <w:rsid w:val="007C198E"/>
    <w:rsid w:val="007C451E"/>
    <w:rsid w:val="007C7317"/>
    <w:rsid w:val="007D7AEF"/>
    <w:rsid w:val="007E4CC3"/>
    <w:rsid w:val="007F1420"/>
    <w:rsid w:val="007F66A9"/>
    <w:rsid w:val="0082780E"/>
    <w:rsid w:val="0084169A"/>
    <w:rsid w:val="00862610"/>
    <w:rsid w:val="008F6FD7"/>
    <w:rsid w:val="0090257B"/>
    <w:rsid w:val="009330D0"/>
    <w:rsid w:val="00944983"/>
    <w:rsid w:val="0095050B"/>
    <w:rsid w:val="009621C6"/>
    <w:rsid w:val="0096248E"/>
    <w:rsid w:val="00976BFB"/>
    <w:rsid w:val="00983E36"/>
    <w:rsid w:val="00986553"/>
    <w:rsid w:val="009C758F"/>
    <w:rsid w:val="009D48B5"/>
    <w:rsid w:val="009D5C61"/>
    <w:rsid w:val="009E4C47"/>
    <w:rsid w:val="00A04C93"/>
    <w:rsid w:val="00A342DC"/>
    <w:rsid w:val="00A3603E"/>
    <w:rsid w:val="00A53BE3"/>
    <w:rsid w:val="00A73AC4"/>
    <w:rsid w:val="00AB01B6"/>
    <w:rsid w:val="00AC0F6E"/>
    <w:rsid w:val="00AD584D"/>
    <w:rsid w:val="00AE6C21"/>
    <w:rsid w:val="00AF4678"/>
    <w:rsid w:val="00AF7780"/>
    <w:rsid w:val="00B01710"/>
    <w:rsid w:val="00B552C1"/>
    <w:rsid w:val="00B56B84"/>
    <w:rsid w:val="00B60E69"/>
    <w:rsid w:val="00B73B49"/>
    <w:rsid w:val="00B855D0"/>
    <w:rsid w:val="00B90985"/>
    <w:rsid w:val="00B97795"/>
    <w:rsid w:val="00BA1FD8"/>
    <w:rsid w:val="00BC6800"/>
    <w:rsid w:val="00BD6ADB"/>
    <w:rsid w:val="00BE0C4A"/>
    <w:rsid w:val="00BF2B03"/>
    <w:rsid w:val="00C24542"/>
    <w:rsid w:val="00C311BA"/>
    <w:rsid w:val="00C32F8D"/>
    <w:rsid w:val="00C333E8"/>
    <w:rsid w:val="00C36C93"/>
    <w:rsid w:val="00C43B77"/>
    <w:rsid w:val="00C45116"/>
    <w:rsid w:val="00C61128"/>
    <w:rsid w:val="00C77886"/>
    <w:rsid w:val="00C8652C"/>
    <w:rsid w:val="00CC3CD4"/>
    <w:rsid w:val="00CC5C3C"/>
    <w:rsid w:val="00CD08CC"/>
    <w:rsid w:val="00D03614"/>
    <w:rsid w:val="00D040B2"/>
    <w:rsid w:val="00D04AC3"/>
    <w:rsid w:val="00D34B6E"/>
    <w:rsid w:val="00D35F8C"/>
    <w:rsid w:val="00D46D92"/>
    <w:rsid w:val="00D51C77"/>
    <w:rsid w:val="00D86724"/>
    <w:rsid w:val="00D90BCE"/>
    <w:rsid w:val="00DA5285"/>
    <w:rsid w:val="00DA6957"/>
    <w:rsid w:val="00DE1005"/>
    <w:rsid w:val="00DE5AF9"/>
    <w:rsid w:val="00DE5E1D"/>
    <w:rsid w:val="00E20C27"/>
    <w:rsid w:val="00E53D9A"/>
    <w:rsid w:val="00E75437"/>
    <w:rsid w:val="00EC3EF0"/>
    <w:rsid w:val="00ED3B21"/>
    <w:rsid w:val="00EE747D"/>
    <w:rsid w:val="00EF22C6"/>
    <w:rsid w:val="00EF601C"/>
    <w:rsid w:val="00F2552D"/>
    <w:rsid w:val="00F35540"/>
    <w:rsid w:val="00F929C9"/>
    <w:rsid w:val="00FA424C"/>
    <w:rsid w:val="00FA757A"/>
    <w:rsid w:val="00FC151E"/>
    <w:rsid w:val="309E2659"/>
    <w:rsid w:val="5EC26ADD"/>
    <w:rsid w:val="7EBF2D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color w:val="0000FF"/>
      <w:u w:val="single"/>
    </w:rPr>
  </w:style>
  <w:style w:type="character" w:customStyle="1" w:styleId="9">
    <w:name w:val="Date Char"/>
    <w:basedOn w:val="7"/>
    <w:link w:val="2"/>
    <w:semiHidden/>
    <w:qFormat/>
    <w:locked/>
    <w:uiPriority w:val="99"/>
    <w:rPr>
      <w:rFonts w:ascii="Times New Roman" w:hAnsi="Times New Roman" w:eastAsia="宋体" w:cs="Times New Roman"/>
      <w:sz w:val="24"/>
      <w:szCs w:val="24"/>
    </w:rPr>
  </w:style>
  <w:style w:type="character" w:customStyle="1" w:styleId="10">
    <w:name w:val="Balloon Text Char"/>
    <w:basedOn w:val="7"/>
    <w:link w:val="3"/>
    <w:semiHidden/>
    <w:qFormat/>
    <w:locked/>
    <w:uiPriority w:val="99"/>
    <w:rPr>
      <w:rFonts w:ascii="Times New Roman" w:hAnsi="Times New Roman" w:eastAsia="宋体" w:cs="Times New Roman"/>
      <w:sz w:val="18"/>
      <w:szCs w:val="18"/>
    </w:rPr>
  </w:style>
  <w:style w:type="character" w:customStyle="1" w:styleId="11">
    <w:name w:val="Footer Char"/>
    <w:basedOn w:val="7"/>
    <w:link w:val="4"/>
    <w:qFormat/>
    <w:locked/>
    <w:uiPriority w:val="99"/>
    <w:rPr>
      <w:rFonts w:ascii="Times New Roman" w:hAnsi="Times New Roman" w:eastAsia="宋体" w:cs="Times New Roman"/>
      <w:sz w:val="18"/>
      <w:szCs w:val="18"/>
    </w:rPr>
  </w:style>
  <w:style w:type="character" w:customStyle="1" w:styleId="12">
    <w:name w:val="Header Char"/>
    <w:basedOn w:val="7"/>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363</Words>
  <Characters>2071</Characters>
  <Lines>0</Lines>
  <Paragraphs>0</Paragraphs>
  <TotalTime>5</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2015-03-19T16:15:00Z</dcterms:created>
  <dc:creator>薛佳</dc:creator>
  <cp:lastModifiedBy>远方</cp:lastModifiedBy>
  <cp:lastPrinted>2015-03-23T09:45:00Z</cp:lastPrinted>
  <dcterms:modified xsi:type="dcterms:W3CDTF">2024-12-23T13:55:15Z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5F26A794DD5E828043FB6867F92E3AC0_42</vt:lpwstr>
  </property>
</Properties>
</file>